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1617F" w:rsidRPr="00A469FC" w:rsidTr="00E27FC6">
        <w:trPr>
          <w:trHeight w:val="2515"/>
        </w:trPr>
        <w:tc>
          <w:tcPr>
            <w:tcW w:w="1135" w:type="dxa"/>
          </w:tcPr>
          <w:p w:rsidR="0021617F" w:rsidRPr="00A469FC" w:rsidRDefault="0021617F" w:rsidP="00E27FC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2pt" o:ole="">
                  <v:imagedata r:id="rId7" o:title=""/>
                </v:shape>
                <o:OLEObject Type="Embed" ProgID="ShapewareVISIO20" ShapeID="_x0000_i1025" DrawAspect="Content" ObjectID="_1552226544" r:id="rId8"/>
              </w:object>
            </w:r>
          </w:p>
        </w:tc>
        <w:tc>
          <w:tcPr>
            <w:tcW w:w="8080" w:type="dxa"/>
          </w:tcPr>
          <w:tbl>
            <w:tblPr>
              <w:tblW w:w="7959" w:type="dxa"/>
              <w:tblLayout w:type="fixed"/>
              <w:tblLook w:val="00A0"/>
            </w:tblPr>
            <w:tblGrid>
              <w:gridCol w:w="3808"/>
              <w:gridCol w:w="4151"/>
            </w:tblGrid>
            <w:tr w:rsidR="0021617F" w:rsidRPr="0080334C" w:rsidTr="00B54B04">
              <w:trPr>
                <w:trHeight w:val="2365"/>
              </w:trPr>
              <w:tc>
                <w:tcPr>
                  <w:tcW w:w="3808" w:type="dxa"/>
                </w:tcPr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21617F" w:rsidRDefault="0021617F" w:rsidP="00E27FC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21617F" w:rsidRDefault="0021617F" w:rsidP="00E27FC6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21617F" w:rsidRPr="00522B5E" w:rsidRDefault="0021617F" w:rsidP="00E27FC6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51" w:type="dxa"/>
                </w:tcPr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21617F" w:rsidRPr="005A3836" w:rsidRDefault="0021617F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21617F" w:rsidRPr="005A3836" w:rsidRDefault="0021617F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21617F" w:rsidRPr="00522B5E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21617F" w:rsidRDefault="0021617F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21617F" w:rsidRPr="000C7B40" w:rsidRDefault="0021617F" w:rsidP="00E27FC6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21617F" w:rsidRPr="0080334C" w:rsidRDefault="0021617F" w:rsidP="00E27F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1617F" w:rsidRPr="00A469FC" w:rsidRDefault="0007241E" w:rsidP="00E27FC6">
            <w:pPr>
              <w:ind w:left="-108"/>
              <w:rPr>
                <w:b/>
                <w:u w:val="single"/>
              </w:rPr>
            </w:pPr>
            <w:r w:rsidRPr="0007241E">
              <w:rPr>
                <w:noProof/>
                <w:lang w:val="uk-UA" w:eastAsia="uk-UA"/>
              </w:rPr>
              <w:pict>
                <v:shape id="Рисунок 2" o:spid="_x0000_i1026" type="#_x0000_t75" style="width:52.8pt;height:66.25pt;visibility:visible">
                  <v:imagedata r:id="rId9" o:title=""/>
                </v:shape>
              </w:pict>
            </w:r>
          </w:p>
        </w:tc>
      </w:tr>
      <w:tr w:rsidR="0021617F" w:rsidRPr="00A469FC" w:rsidTr="00E27FC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17F" w:rsidRPr="008B0FFE" w:rsidRDefault="0021617F" w:rsidP="00E27FC6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17F" w:rsidRPr="00A469FC" w:rsidRDefault="0021617F" w:rsidP="00E27FC6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617F" w:rsidRPr="00A469FC" w:rsidRDefault="0021617F" w:rsidP="00E27FC6">
            <w:pPr>
              <w:rPr>
                <w:b/>
                <w:u w:val="single"/>
              </w:rPr>
            </w:pPr>
          </w:p>
        </w:tc>
      </w:tr>
    </w:tbl>
    <w:p w:rsidR="0021617F" w:rsidRDefault="0021617F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21617F" w:rsidRPr="007F7637" w:rsidRDefault="0021617F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7F7637">
        <w:rPr>
          <w:b/>
          <w:sz w:val="32"/>
          <w:szCs w:val="32"/>
          <w:lang w:val="uk-UA"/>
        </w:rPr>
        <w:t>Н А К А З</w:t>
      </w:r>
    </w:p>
    <w:p w:rsidR="0021617F" w:rsidRDefault="0021617F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17F" w:rsidRDefault="00EB0A57" w:rsidP="000507AE">
      <w:pPr>
        <w:pStyle w:val="a6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21617F" w:rsidRPr="00497F2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="0021617F" w:rsidRPr="00497F2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</w:rPr>
        <w:tab/>
        <w:t xml:space="preserve">     </w:t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  <w:lang w:val="uk-UA"/>
        </w:rPr>
        <w:tab/>
      </w:r>
      <w:r w:rsidR="0021617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135</w:t>
      </w:r>
      <w:r w:rsidR="002161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1617F" w:rsidRDefault="0021617F" w:rsidP="000507A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21617F" w:rsidRPr="00B54B04" w:rsidTr="00E27F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1617F" w:rsidRDefault="0021617F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наказу            </w:t>
            </w:r>
          </w:p>
          <w:p w:rsidR="0021617F" w:rsidRDefault="0021617F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   проведення    державної </w:t>
            </w:r>
          </w:p>
          <w:p w:rsidR="0021617F" w:rsidRDefault="0021617F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атестації Харківської загальноосвітньої школи І-ІІІ ступенів № 165 Харківської міської ради Харківської області» від </w:t>
            </w:r>
            <w:r w:rsidR="00EB0A5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4.</w:t>
            </w:r>
            <w:r w:rsidR="00EB0A57">
              <w:rPr>
                <w:sz w:val="28"/>
                <w:szCs w:val="28"/>
                <w:lang w:val="uk-UA"/>
              </w:rPr>
              <w:t>02</w:t>
            </w:r>
            <w:r>
              <w:rPr>
                <w:sz w:val="28"/>
                <w:szCs w:val="28"/>
                <w:lang w:val="uk-UA"/>
              </w:rPr>
              <w:t>.201</w:t>
            </w:r>
            <w:r w:rsidR="00EB0A5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EB0A57">
              <w:rPr>
                <w:sz w:val="28"/>
                <w:szCs w:val="28"/>
                <w:lang w:val="uk-UA"/>
              </w:rPr>
              <w:t>74</w:t>
            </w:r>
          </w:p>
          <w:p w:rsidR="0021617F" w:rsidRDefault="0021617F" w:rsidP="00E27FC6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ind w:right="9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1617F" w:rsidRDefault="00EB0A57" w:rsidP="00B54B04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11"/>
      <w:bookmarkStart w:id="3" w:name="OLE_LINK12"/>
      <w:r>
        <w:rPr>
          <w:sz w:val="28"/>
          <w:szCs w:val="28"/>
          <w:lang w:val="uk-UA"/>
        </w:rPr>
        <w:t>У</w:t>
      </w:r>
      <w:r w:rsidR="0021617F">
        <w:rPr>
          <w:sz w:val="28"/>
          <w:szCs w:val="28"/>
          <w:lang w:val="uk-UA"/>
        </w:rPr>
        <w:t xml:space="preserve"> зв’язку з перебуванням у щорічній основній відпустці </w:t>
      </w:r>
      <w:r>
        <w:rPr>
          <w:sz w:val="28"/>
          <w:szCs w:val="28"/>
          <w:lang w:val="uk-UA"/>
        </w:rPr>
        <w:t>заступника начальника У</w:t>
      </w:r>
      <w:r w:rsidR="0021617F" w:rsidRPr="00A605FC">
        <w:rPr>
          <w:sz w:val="28"/>
          <w:szCs w:val="28"/>
          <w:lang w:val="uk-UA"/>
        </w:rPr>
        <w:t>правління освіти адміністрації Київського району Харківської міської ради</w:t>
      </w:r>
      <w:r w:rsidR="0021617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Ліпейка</w:t>
      </w:r>
      <w:proofErr w:type="spellEnd"/>
      <w:r>
        <w:rPr>
          <w:sz w:val="28"/>
          <w:szCs w:val="28"/>
          <w:lang w:val="uk-UA"/>
        </w:rPr>
        <w:t xml:space="preserve"> Володимира Івановича</w:t>
      </w:r>
      <w:r w:rsidR="0021617F">
        <w:rPr>
          <w:sz w:val="28"/>
          <w:szCs w:val="28"/>
          <w:lang w:val="uk-UA"/>
        </w:rPr>
        <w:t xml:space="preserve"> (наказ від </w:t>
      </w:r>
      <w:r>
        <w:rPr>
          <w:sz w:val="28"/>
          <w:szCs w:val="28"/>
          <w:lang w:val="uk-UA"/>
        </w:rPr>
        <w:t>14</w:t>
      </w:r>
      <w:r w:rsidR="0021617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="0021617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21617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59</w:t>
      </w:r>
      <w:r w:rsidR="0021617F">
        <w:rPr>
          <w:sz w:val="28"/>
          <w:szCs w:val="28"/>
          <w:lang w:val="uk-UA"/>
        </w:rPr>
        <w:t>-к/</w:t>
      </w:r>
      <w:proofErr w:type="spellStart"/>
      <w:r w:rsidR="0021617F">
        <w:rPr>
          <w:sz w:val="28"/>
          <w:szCs w:val="28"/>
          <w:lang w:val="uk-UA"/>
        </w:rPr>
        <w:t>тм</w:t>
      </w:r>
      <w:proofErr w:type="spellEnd"/>
      <w:r w:rsidR="0021617F">
        <w:rPr>
          <w:sz w:val="28"/>
          <w:szCs w:val="28"/>
          <w:lang w:val="uk-UA"/>
        </w:rPr>
        <w:t>),</w:t>
      </w:r>
    </w:p>
    <w:p w:rsidR="0021617F" w:rsidRDefault="0021617F" w:rsidP="005015A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1617F" w:rsidRDefault="0021617F" w:rsidP="000507AE">
      <w:pPr>
        <w:spacing w:line="276" w:lineRule="auto"/>
        <w:jc w:val="both"/>
        <w:rPr>
          <w:sz w:val="28"/>
          <w:szCs w:val="28"/>
          <w:lang w:val="uk-UA"/>
        </w:rPr>
      </w:pPr>
      <w:r w:rsidRPr="004F07CC">
        <w:rPr>
          <w:sz w:val="28"/>
          <w:szCs w:val="28"/>
          <w:lang w:val="uk-UA"/>
        </w:rPr>
        <w:t>НАКАЗУЮ:</w:t>
      </w:r>
    </w:p>
    <w:p w:rsidR="0021617F" w:rsidRDefault="0021617F" w:rsidP="000507AE">
      <w:pPr>
        <w:spacing w:line="276" w:lineRule="auto"/>
        <w:jc w:val="both"/>
        <w:rPr>
          <w:sz w:val="28"/>
          <w:szCs w:val="28"/>
          <w:lang w:val="uk-UA"/>
        </w:rPr>
      </w:pPr>
    </w:p>
    <w:p w:rsidR="008221C5" w:rsidRDefault="0021617F" w:rsidP="00B54B0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складу атестаційної комісії для проведення атестаційної експертизи Харківської загальноосвітньої  школи І-ІІІ ступенів № 165 Харківської міської ради Харківської обл</w:t>
      </w:r>
      <w:r w:rsidR="00EB0A57">
        <w:rPr>
          <w:sz w:val="28"/>
          <w:szCs w:val="28"/>
          <w:lang w:val="uk-UA"/>
        </w:rPr>
        <w:t>асті</w:t>
      </w:r>
      <w:r w:rsidR="008221C5" w:rsidRPr="008221C5">
        <w:rPr>
          <w:sz w:val="28"/>
          <w:szCs w:val="28"/>
          <w:lang w:val="uk-UA"/>
        </w:rPr>
        <w:t xml:space="preserve"> </w:t>
      </w:r>
      <w:r w:rsidR="008221C5">
        <w:rPr>
          <w:sz w:val="28"/>
          <w:szCs w:val="28"/>
          <w:lang w:val="uk-UA"/>
        </w:rPr>
        <w:t>та Робочої програми атестаційної експертизи навчального закладу</w:t>
      </w:r>
      <w:r w:rsidR="00EB0A57">
        <w:rPr>
          <w:sz w:val="28"/>
          <w:szCs w:val="28"/>
          <w:lang w:val="uk-UA"/>
        </w:rPr>
        <w:t>: призначити  Сторожук Н.В.</w:t>
      </w:r>
      <w:r w:rsidRPr="007724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методиста методичного центру</w:t>
      </w:r>
      <w:r w:rsidRPr="00A60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605FC">
        <w:rPr>
          <w:sz w:val="28"/>
          <w:szCs w:val="28"/>
          <w:lang w:val="uk-UA"/>
        </w:rPr>
        <w:t>правління освіти адміністрації Київського району Харківської міської ради</w:t>
      </w:r>
      <w:r>
        <w:rPr>
          <w:sz w:val="28"/>
          <w:szCs w:val="28"/>
          <w:lang w:val="uk-UA"/>
        </w:rPr>
        <w:t xml:space="preserve"> замість </w:t>
      </w:r>
      <w:proofErr w:type="spellStart"/>
      <w:r>
        <w:rPr>
          <w:sz w:val="28"/>
          <w:szCs w:val="28"/>
          <w:lang w:val="uk-UA"/>
        </w:rPr>
        <w:t>Ліпейка</w:t>
      </w:r>
      <w:proofErr w:type="spellEnd"/>
      <w:r>
        <w:rPr>
          <w:sz w:val="28"/>
          <w:szCs w:val="28"/>
          <w:lang w:val="uk-UA"/>
        </w:rPr>
        <w:t xml:space="preserve"> В.І.,</w:t>
      </w:r>
      <w:r w:rsidRPr="00687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начальника</w:t>
      </w:r>
      <w:r w:rsidRPr="00A60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605FC">
        <w:rPr>
          <w:sz w:val="28"/>
          <w:szCs w:val="28"/>
          <w:lang w:val="uk-UA"/>
        </w:rPr>
        <w:t>правління освіти адміністрації Київського району Харківської міської ради</w:t>
      </w:r>
      <w:r w:rsidR="00B54B04">
        <w:rPr>
          <w:sz w:val="28"/>
          <w:szCs w:val="28"/>
          <w:lang w:val="uk-UA"/>
        </w:rPr>
        <w:t>, заступника голови атестаційної комісії</w:t>
      </w:r>
      <w:r>
        <w:rPr>
          <w:sz w:val="28"/>
          <w:szCs w:val="28"/>
          <w:lang w:val="uk-UA"/>
        </w:rPr>
        <w:t>.</w:t>
      </w:r>
    </w:p>
    <w:p w:rsidR="00B54B04" w:rsidRDefault="00B54B04" w:rsidP="00B54B04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заступником голови атестаційної комісії </w:t>
      </w:r>
      <w:proofErr w:type="spellStart"/>
      <w:r>
        <w:rPr>
          <w:sz w:val="28"/>
          <w:szCs w:val="28"/>
          <w:lang w:val="uk-UA"/>
        </w:rPr>
        <w:t>Лустенко</w:t>
      </w:r>
      <w:proofErr w:type="spellEnd"/>
      <w:r>
        <w:rPr>
          <w:sz w:val="28"/>
          <w:szCs w:val="28"/>
          <w:lang w:val="uk-UA"/>
        </w:rPr>
        <w:t xml:space="preserve"> С.І., головного спеціаліста Управління освіти.</w:t>
      </w:r>
    </w:p>
    <w:p w:rsidR="0021617F" w:rsidRPr="008221C5" w:rsidRDefault="0021617F" w:rsidP="00B54B0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221C5">
        <w:rPr>
          <w:sz w:val="28"/>
          <w:szCs w:val="28"/>
          <w:lang w:val="uk-UA"/>
        </w:rPr>
        <w:lastRenderedPageBreak/>
        <w:t xml:space="preserve"> </w:t>
      </w:r>
      <w:r w:rsidR="00B54B04">
        <w:rPr>
          <w:sz w:val="28"/>
          <w:szCs w:val="28"/>
          <w:lang w:val="uk-UA"/>
        </w:rPr>
        <w:t>3</w:t>
      </w:r>
      <w:r>
        <w:rPr>
          <w:szCs w:val="28"/>
        </w:rPr>
        <w:t xml:space="preserve">.  </w:t>
      </w:r>
      <w:r w:rsidR="00B54B04">
        <w:rPr>
          <w:szCs w:val="28"/>
          <w:lang w:val="uk-UA"/>
        </w:rPr>
        <w:t xml:space="preserve">    </w:t>
      </w:r>
      <w:r>
        <w:rPr>
          <w:szCs w:val="28"/>
        </w:rPr>
        <w:t xml:space="preserve"> </w:t>
      </w:r>
      <w:r w:rsidRPr="008221C5">
        <w:rPr>
          <w:sz w:val="28"/>
          <w:szCs w:val="28"/>
          <w:lang w:val="uk-UA"/>
        </w:rPr>
        <w:t>Короп Ю.В., завідувачу лабораторії комп’ютерних технологій в освіті, розмістити цей наказ на сайті Управління освіти.</w:t>
      </w:r>
    </w:p>
    <w:p w:rsidR="0021617F" w:rsidRDefault="0021617F" w:rsidP="00B54B04">
      <w:pPr>
        <w:pStyle w:val="ab"/>
        <w:widowControl w:val="0"/>
        <w:tabs>
          <w:tab w:val="left" w:pos="426"/>
        </w:tabs>
        <w:spacing w:line="360" w:lineRule="auto"/>
        <w:ind w:left="709"/>
        <w:jc w:val="right"/>
        <w:rPr>
          <w:szCs w:val="28"/>
        </w:rPr>
      </w:pPr>
      <w:r w:rsidRPr="00636835">
        <w:rPr>
          <w:b w:val="0"/>
          <w:szCs w:val="28"/>
        </w:rPr>
        <w:t xml:space="preserve">До </w:t>
      </w:r>
      <w:r>
        <w:rPr>
          <w:b w:val="0"/>
          <w:szCs w:val="28"/>
        </w:rPr>
        <w:t>27</w:t>
      </w:r>
      <w:r w:rsidRPr="00636835">
        <w:rPr>
          <w:b w:val="0"/>
          <w:szCs w:val="28"/>
        </w:rPr>
        <w:t>.</w:t>
      </w:r>
      <w:r>
        <w:rPr>
          <w:b w:val="0"/>
          <w:szCs w:val="28"/>
        </w:rPr>
        <w:t>03</w:t>
      </w:r>
      <w:r w:rsidRPr="00636835">
        <w:rPr>
          <w:b w:val="0"/>
          <w:szCs w:val="28"/>
        </w:rPr>
        <w:t>.201</w:t>
      </w:r>
      <w:r>
        <w:rPr>
          <w:b w:val="0"/>
          <w:szCs w:val="28"/>
        </w:rPr>
        <w:t>7</w:t>
      </w:r>
    </w:p>
    <w:p w:rsidR="0021617F" w:rsidRPr="00B54B04" w:rsidRDefault="0021617F" w:rsidP="00B54B04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04ED">
        <w:rPr>
          <w:sz w:val="28"/>
          <w:szCs w:val="28"/>
        </w:rPr>
        <w:t xml:space="preserve">Контроль за </w:t>
      </w:r>
      <w:proofErr w:type="spellStart"/>
      <w:r w:rsidRPr="000A04ED">
        <w:rPr>
          <w:sz w:val="28"/>
          <w:szCs w:val="28"/>
        </w:rPr>
        <w:t>виконанням</w:t>
      </w:r>
      <w:proofErr w:type="spellEnd"/>
      <w:r w:rsidRPr="000A04ED">
        <w:rPr>
          <w:sz w:val="28"/>
          <w:szCs w:val="28"/>
        </w:rPr>
        <w:t xml:space="preserve"> наказу </w:t>
      </w:r>
      <w:proofErr w:type="spellStart"/>
      <w:r w:rsidRPr="000A04ED">
        <w:rPr>
          <w:sz w:val="28"/>
          <w:szCs w:val="28"/>
        </w:rPr>
        <w:t>залишаю</w:t>
      </w:r>
      <w:proofErr w:type="spellEnd"/>
      <w:r w:rsidRPr="000A04ED">
        <w:rPr>
          <w:sz w:val="28"/>
          <w:szCs w:val="28"/>
        </w:rPr>
        <w:t xml:space="preserve"> за собою.</w:t>
      </w:r>
    </w:p>
    <w:p w:rsidR="00B54B04" w:rsidRDefault="00B54B04" w:rsidP="00B54B04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21617F" w:rsidRDefault="0021617F" w:rsidP="00B54B04">
      <w:pPr>
        <w:pStyle w:val="a8"/>
        <w:tabs>
          <w:tab w:val="num" w:pos="540"/>
        </w:tabs>
        <w:spacing w:line="360" w:lineRule="auto"/>
        <w:ind w:left="567"/>
        <w:jc w:val="both"/>
        <w:rPr>
          <w:sz w:val="28"/>
          <w:szCs w:val="28"/>
        </w:rPr>
      </w:pPr>
    </w:p>
    <w:p w:rsidR="0021617F" w:rsidRDefault="0021617F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Т.В.Куценко</w:t>
      </w:r>
    </w:p>
    <w:p w:rsidR="00B54B04" w:rsidRDefault="00B54B04" w:rsidP="000507AE">
      <w:pPr>
        <w:spacing w:line="276" w:lineRule="auto"/>
        <w:rPr>
          <w:sz w:val="28"/>
          <w:szCs w:val="28"/>
          <w:lang w:val="uk-UA"/>
        </w:rPr>
      </w:pPr>
    </w:p>
    <w:p w:rsidR="00B54B04" w:rsidRDefault="00B54B04" w:rsidP="000507AE">
      <w:pPr>
        <w:spacing w:line="276" w:lineRule="auto"/>
        <w:rPr>
          <w:sz w:val="28"/>
          <w:szCs w:val="28"/>
          <w:lang w:val="uk-UA"/>
        </w:rPr>
      </w:pPr>
    </w:p>
    <w:p w:rsidR="0021617F" w:rsidRDefault="0021617F" w:rsidP="000507AE">
      <w:pPr>
        <w:spacing w:line="276" w:lineRule="auto"/>
        <w:rPr>
          <w:sz w:val="28"/>
          <w:szCs w:val="28"/>
          <w:lang w:val="uk-UA"/>
        </w:rPr>
      </w:pPr>
    </w:p>
    <w:p w:rsidR="00B54B04" w:rsidRDefault="0021617F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3C05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</w:t>
      </w:r>
      <w:r w:rsidRPr="00F73C05">
        <w:rPr>
          <w:sz w:val="28"/>
          <w:szCs w:val="28"/>
          <w:lang w:val="uk-UA"/>
        </w:rPr>
        <w:t>ознайомлені:</w:t>
      </w:r>
    </w:p>
    <w:p w:rsidR="00B54B04" w:rsidRDefault="0021617F" w:rsidP="00B54B0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21617F" w:rsidRDefault="0021617F" w:rsidP="00B54B0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Сторожук Н.В.</w:t>
      </w:r>
    </w:p>
    <w:p w:rsidR="00B54B04" w:rsidRDefault="00B54B04" w:rsidP="00B54B04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Лустенко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54B04" w:rsidRDefault="00B54B04" w:rsidP="00EB0A5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1617F" w:rsidRPr="000A04ED" w:rsidRDefault="0021617F" w:rsidP="006C27D8">
      <w:pPr>
        <w:spacing w:line="276" w:lineRule="auto"/>
        <w:rPr>
          <w:lang w:val="uk-UA"/>
        </w:rPr>
      </w:pPr>
      <w:proofErr w:type="spellStart"/>
      <w:r w:rsidRPr="00337A85">
        <w:rPr>
          <w:sz w:val="20"/>
          <w:szCs w:val="20"/>
          <w:lang w:val="uk-UA"/>
        </w:rPr>
        <w:t>Лустенко</w:t>
      </w:r>
      <w:bookmarkEnd w:id="0"/>
      <w:bookmarkEnd w:id="1"/>
      <w:bookmarkEnd w:id="2"/>
      <w:bookmarkEnd w:id="3"/>
      <w:proofErr w:type="spellEnd"/>
    </w:p>
    <w:sectPr w:rsidR="0021617F" w:rsidRPr="000A04ED" w:rsidSect="00EB0A57">
      <w:headerReference w:type="even" r:id="rId10"/>
      <w:headerReference w:type="default" r:id="rId11"/>
      <w:pgSz w:w="11906" w:h="16838"/>
      <w:pgMar w:top="1134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52" w:rsidRDefault="00111352" w:rsidP="00B72AC0">
      <w:r>
        <w:separator/>
      </w:r>
    </w:p>
  </w:endnote>
  <w:endnote w:type="continuationSeparator" w:id="0">
    <w:p w:rsidR="00111352" w:rsidRDefault="00111352" w:rsidP="00B7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52" w:rsidRDefault="00111352" w:rsidP="00B72AC0">
      <w:r>
        <w:separator/>
      </w:r>
    </w:p>
  </w:footnote>
  <w:footnote w:type="continuationSeparator" w:id="0">
    <w:p w:rsidR="00111352" w:rsidRDefault="00111352" w:rsidP="00B7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F" w:rsidRDefault="0007241E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1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17F" w:rsidRDefault="00216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F" w:rsidRDefault="0007241E" w:rsidP="009504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1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B04">
      <w:rPr>
        <w:rStyle w:val="a5"/>
        <w:noProof/>
      </w:rPr>
      <w:t>2</w:t>
    </w:r>
    <w:r>
      <w:rPr>
        <w:rStyle w:val="a5"/>
      </w:rPr>
      <w:fldChar w:fldCharType="end"/>
    </w:r>
  </w:p>
  <w:p w:rsidR="0021617F" w:rsidRDefault="002161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8F"/>
    <w:multiLevelType w:val="hybridMultilevel"/>
    <w:tmpl w:val="5A20E0EE"/>
    <w:lvl w:ilvl="0" w:tplc="87180E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7622F"/>
    <w:multiLevelType w:val="hybridMultilevel"/>
    <w:tmpl w:val="7B46B6F4"/>
    <w:lvl w:ilvl="0" w:tplc="1E34F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2BA1"/>
    <w:multiLevelType w:val="multilevel"/>
    <w:tmpl w:val="005C0D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0F76CF9"/>
    <w:multiLevelType w:val="multilevel"/>
    <w:tmpl w:val="9D263A9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564893"/>
    <w:multiLevelType w:val="multilevel"/>
    <w:tmpl w:val="DFEA9B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A6E2506"/>
    <w:multiLevelType w:val="multilevel"/>
    <w:tmpl w:val="3450389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F8C6BFD"/>
    <w:multiLevelType w:val="multilevel"/>
    <w:tmpl w:val="5D4CC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5F9E77BA"/>
    <w:multiLevelType w:val="hybridMultilevel"/>
    <w:tmpl w:val="4DB0B9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480E55"/>
    <w:multiLevelType w:val="hybridMultilevel"/>
    <w:tmpl w:val="04707960"/>
    <w:lvl w:ilvl="0" w:tplc="B63E112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7B7F78B3"/>
    <w:multiLevelType w:val="hybridMultilevel"/>
    <w:tmpl w:val="7CCC1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A093F"/>
    <w:multiLevelType w:val="hybridMultilevel"/>
    <w:tmpl w:val="C90ED996"/>
    <w:lvl w:ilvl="0" w:tplc="0422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7AE"/>
    <w:rsid w:val="00002F30"/>
    <w:rsid w:val="000051E0"/>
    <w:rsid w:val="000053AF"/>
    <w:rsid w:val="0000630F"/>
    <w:rsid w:val="000128F9"/>
    <w:rsid w:val="000507AE"/>
    <w:rsid w:val="00055304"/>
    <w:rsid w:val="0007241E"/>
    <w:rsid w:val="000745D1"/>
    <w:rsid w:val="0008345A"/>
    <w:rsid w:val="000A04ED"/>
    <w:rsid w:val="000A3B3C"/>
    <w:rsid w:val="000C7B40"/>
    <w:rsid w:val="000D5908"/>
    <w:rsid w:val="000E2BF4"/>
    <w:rsid w:val="000F4DF2"/>
    <w:rsid w:val="00111352"/>
    <w:rsid w:val="0011583E"/>
    <w:rsid w:val="001230D5"/>
    <w:rsid w:val="00141290"/>
    <w:rsid w:val="001852FC"/>
    <w:rsid w:val="001A5D0C"/>
    <w:rsid w:val="001B2C7F"/>
    <w:rsid w:val="002068BC"/>
    <w:rsid w:val="00207A0C"/>
    <w:rsid w:val="002149BF"/>
    <w:rsid w:val="0021617F"/>
    <w:rsid w:val="00293201"/>
    <w:rsid w:val="002A7B8F"/>
    <w:rsid w:val="002B2CCC"/>
    <w:rsid w:val="00317D26"/>
    <w:rsid w:val="003214A4"/>
    <w:rsid w:val="00337A85"/>
    <w:rsid w:val="00342080"/>
    <w:rsid w:val="0036112E"/>
    <w:rsid w:val="00363CB9"/>
    <w:rsid w:val="00377326"/>
    <w:rsid w:val="00391A01"/>
    <w:rsid w:val="003973EE"/>
    <w:rsid w:val="003C0C2B"/>
    <w:rsid w:val="003C326F"/>
    <w:rsid w:val="004259FC"/>
    <w:rsid w:val="0043255E"/>
    <w:rsid w:val="0043526B"/>
    <w:rsid w:val="0043695F"/>
    <w:rsid w:val="0044046B"/>
    <w:rsid w:val="004523DD"/>
    <w:rsid w:val="0046675A"/>
    <w:rsid w:val="00487F27"/>
    <w:rsid w:val="00496E0A"/>
    <w:rsid w:val="00497F27"/>
    <w:rsid w:val="004D54AC"/>
    <w:rsid w:val="004F07CC"/>
    <w:rsid w:val="004F37BB"/>
    <w:rsid w:val="005015A7"/>
    <w:rsid w:val="005125B2"/>
    <w:rsid w:val="00522B5E"/>
    <w:rsid w:val="00534E55"/>
    <w:rsid w:val="00535258"/>
    <w:rsid w:val="00567839"/>
    <w:rsid w:val="005733F6"/>
    <w:rsid w:val="005A3836"/>
    <w:rsid w:val="005A3B2A"/>
    <w:rsid w:val="005A5C55"/>
    <w:rsid w:val="005B01E6"/>
    <w:rsid w:val="005C10E1"/>
    <w:rsid w:val="005C5351"/>
    <w:rsid w:val="005E18BE"/>
    <w:rsid w:val="005F6A35"/>
    <w:rsid w:val="005F6D3C"/>
    <w:rsid w:val="00616C8E"/>
    <w:rsid w:val="00632CFC"/>
    <w:rsid w:val="00636835"/>
    <w:rsid w:val="0064451B"/>
    <w:rsid w:val="00645867"/>
    <w:rsid w:val="006518D7"/>
    <w:rsid w:val="00687E07"/>
    <w:rsid w:val="0069322C"/>
    <w:rsid w:val="006C27D8"/>
    <w:rsid w:val="006D43E7"/>
    <w:rsid w:val="006E5B37"/>
    <w:rsid w:val="006F7EF4"/>
    <w:rsid w:val="00700168"/>
    <w:rsid w:val="007576AB"/>
    <w:rsid w:val="00765B73"/>
    <w:rsid w:val="00772449"/>
    <w:rsid w:val="0077796E"/>
    <w:rsid w:val="00780944"/>
    <w:rsid w:val="007D0D6B"/>
    <w:rsid w:val="007E72F1"/>
    <w:rsid w:val="007F7637"/>
    <w:rsid w:val="007F7C69"/>
    <w:rsid w:val="0080334C"/>
    <w:rsid w:val="008221C5"/>
    <w:rsid w:val="00826767"/>
    <w:rsid w:val="00831A90"/>
    <w:rsid w:val="0084699C"/>
    <w:rsid w:val="008819FB"/>
    <w:rsid w:val="008A3D8E"/>
    <w:rsid w:val="008B0FFE"/>
    <w:rsid w:val="008B3C0C"/>
    <w:rsid w:val="008D2EB1"/>
    <w:rsid w:val="008E22F4"/>
    <w:rsid w:val="009155DB"/>
    <w:rsid w:val="009368B8"/>
    <w:rsid w:val="009504A2"/>
    <w:rsid w:val="009A1508"/>
    <w:rsid w:val="009A5700"/>
    <w:rsid w:val="00A0363F"/>
    <w:rsid w:val="00A049E1"/>
    <w:rsid w:val="00A163D8"/>
    <w:rsid w:val="00A1721D"/>
    <w:rsid w:val="00A27592"/>
    <w:rsid w:val="00A430FC"/>
    <w:rsid w:val="00A436CB"/>
    <w:rsid w:val="00A469FC"/>
    <w:rsid w:val="00A562C0"/>
    <w:rsid w:val="00A605FC"/>
    <w:rsid w:val="00A67D45"/>
    <w:rsid w:val="00A920BF"/>
    <w:rsid w:val="00AA3334"/>
    <w:rsid w:val="00B05A58"/>
    <w:rsid w:val="00B07B44"/>
    <w:rsid w:val="00B17246"/>
    <w:rsid w:val="00B526B5"/>
    <w:rsid w:val="00B54B04"/>
    <w:rsid w:val="00B57142"/>
    <w:rsid w:val="00B72AC0"/>
    <w:rsid w:val="00BA4F05"/>
    <w:rsid w:val="00BA7254"/>
    <w:rsid w:val="00BB1339"/>
    <w:rsid w:val="00BD5D3F"/>
    <w:rsid w:val="00BE7745"/>
    <w:rsid w:val="00C16200"/>
    <w:rsid w:val="00C32A12"/>
    <w:rsid w:val="00C42182"/>
    <w:rsid w:val="00C83155"/>
    <w:rsid w:val="00CA63CE"/>
    <w:rsid w:val="00CB3DF0"/>
    <w:rsid w:val="00CC41A2"/>
    <w:rsid w:val="00D13E59"/>
    <w:rsid w:val="00D217B1"/>
    <w:rsid w:val="00D27112"/>
    <w:rsid w:val="00D476FD"/>
    <w:rsid w:val="00D647B7"/>
    <w:rsid w:val="00D67AF2"/>
    <w:rsid w:val="00D75FD7"/>
    <w:rsid w:val="00D7668E"/>
    <w:rsid w:val="00D9082D"/>
    <w:rsid w:val="00D929D4"/>
    <w:rsid w:val="00DC2F45"/>
    <w:rsid w:val="00DE63CA"/>
    <w:rsid w:val="00DF58F8"/>
    <w:rsid w:val="00E02E06"/>
    <w:rsid w:val="00E11E5F"/>
    <w:rsid w:val="00E13475"/>
    <w:rsid w:val="00E148E3"/>
    <w:rsid w:val="00E27FC6"/>
    <w:rsid w:val="00E4126F"/>
    <w:rsid w:val="00E45CA5"/>
    <w:rsid w:val="00E47C01"/>
    <w:rsid w:val="00E52CEB"/>
    <w:rsid w:val="00E97C5B"/>
    <w:rsid w:val="00EA26C1"/>
    <w:rsid w:val="00EA6120"/>
    <w:rsid w:val="00EB0A57"/>
    <w:rsid w:val="00EC0E75"/>
    <w:rsid w:val="00EF4116"/>
    <w:rsid w:val="00F11467"/>
    <w:rsid w:val="00F22E43"/>
    <w:rsid w:val="00F26C6F"/>
    <w:rsid w:val="00F276E2"/>
    <w:rsid w:val="00F43990"/>
    <w:rsid w:val="00F45D1E"/>
    <w:rsid w:val="00F509CC"/>
    <w:rsid w:val="00F73C05"/>
    <w:rsid w:val="00F979BB"/>
    <w:rsid w:val="00FB71EA"/>
    <w:rsid w:val="00FD63ED"/>
    <w:rsid w:val="00FE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E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507A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507A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07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07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507AE"/>
    <w:rPr>
      <w:rFonts w:cs="Times New Roman"/>
    </w:rPr>
  </w:style>
  <w:style w:type="paragraph" w:styleId="a6">
    <w:name w:val="Plain Text"/>
    <w:basedOn w:val="a"/>
    <w:link w:val="a7"/>
    <w:uiPriority w:val="99"/>
    <w:rsid w:val="000507AE"/>
    <w:rPr>
      <w:rFonts w:ascii="Courier New" w:hAnsi="Courier New" w:cs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uiPriority w:val="99"/>
    <w:locked/>
    <w:rsid w:val="000507AE"/>
    <w:rPr>
      <w:rFonts w:ascii="Courier New" w:hAnsi="Courier New" w:cs="Courier New"/>
      <w:sz w:val="20"/>
      <w:szCs w:val="20"/>
      <w:lang w:eastAsia="uk-UA"/>
    </w:rPr>
  </w:style>
  <w:style w:type="paragraph" w:styleId="a8">
    <w:name w:val="List Paragraph"/>
    <w:basedOn w:val="a"/>
    <w:uiPriority w:val="99"/>
    <w:qFormat/>
    <w:rsid w:val="000507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50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7AE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D476FD"/>
    <w:pPr>
      <w:ind w:left="5664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476FD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d">
    <w:name w:val="footer"/>
    <w:basedOn w:val="a"/>
    <w:link w:val="ae"/>
    <w:uiPriority w:val="99"/>
    <w:semiHidden/>
    <w:rsid w:val="004D54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54AC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Работа</dc:creator>
  <cp:keywords/>
  <dc:description/>
  <cp:lastModifiedBy>Работа</cp:lastModifiedBy>
  <cp:revision>5</cp:revision>
  <cp:lastPrinted>2017-03-28T14:15:00Z</cp:lastPrinted>
  <dcterms:created xsi:type="dcterms:W3CDTF">2017-03-26T18:44:00Z</dcterms:created>
  <dcterms:modified xsi:type="dcterms:W3CDTF">2017-03-28T14:16:00Z</dcterms:modified>
</cp:coreProperties>
</file>