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ind w:firstLine="540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</w:t>
      </w:r>
    </w:p>
    <w:p>
      <w:pPr>
        <w:pStyle w:val="style0"/>
        <w:ind w:firstLine="540" w:left="0" w:righ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Харківського міського турніру юних правознавців</w:t>
      </w:r>
      <w:r>
        <w:rPr>
          <w:b/>
          <w:sz w:val="28"/>
          <w:szCs w:val="28"/>
          <w:lang w:val="ru-RU"/>
        </w:rPr>
        <w:t xml:space="preserve"> </w:t>
      </w:r>
    </w:p>
    <w:p>
      <w:pPr>
        <w:pStyle w:val="style0"/>
        <w:ind w:firstLine="540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(2017/2018 навчальний рік)</w:t>
      </w:r>
    </w:p>
    <w:p>
      <w:pPr>
        <w:pStyle w:val="style0"/>
        <w:ind w:firstLine="540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spacing w:after="120" w:before="0"/>
        <w:ind w:firstLine="567" w:left="0" w:right="0"/>
        <w:contextualSpacing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 Природні права людини: криза правового захисту.</w:t>
      </w:r>
    </w:p>
    <w:p>
      <w:pPr>
        <w:pStyle w:val="style0"/>
        <w:spacing w:after="120" w:before="0"/>
        <w:ind w:firstLine="567" w:left="0" w:right="0"/>
        <w:contextualSpacing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 Поняття „ефективний судовий захист”: проблема правового визначення та практика Європейського суду з прав людини. </w:t>
      </w:r>
    </w:p>
    <w:p>
      <w:pPr>
        <w:pStyle w:val="style0"/>
        <w:spacing w:after="120" w:before="0"/>
        <w:ind w:firstLine="567" w:left="0" w:right="0"/>
        <w:contextualSpacing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 Обмеження свободи мирних зібрань: в «інтересах» публічної влади чи в інтересах захисту громадського порядку?</w:t>
      </w:r>
    </w:p>
    <w:p>
      <w:pPr>
        <w:pStyle w:val="style0"/>
        <w:spacing w:after="120" w:before="0"/>
        <w:ind w:firstLine="567" w:left="0" w:right="0"/>
        <w:contextualSpacing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 Корупційні правопорушення: місце в системі юридичної відповідальності. </w:t>
      </w:r>
    </w:p>
    <w:p>
      <w:pPr>
        <w:pStyle w:val="style0"/>
        <w:spacing w:after="120" w:before="0"/>
        <w:ind w:firstLine="567" w:left="0" w:right="0"/>
        <w:contextualSpacing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  <w:shd w:fill="FFFFFF" w:val="clear"/>
        </w:rPr>
        <w:t>Фактична помилка в кримінальному праві України та її значення для </w:t>
      </w:r>
      <w:bookmarkStart w:id="0" w:name="_GoBack"/>
      <w:bookmarkEnd w:id="0"/>
      <w:r>
        <w:rPr>
          <w:bCs/>
          <w:color w:val="000000"/>
          <w:sz w:val="28"/>
          <w:szCs w:val="28"/>
          <w:shd w:fill="FFFFFF" w:val="clear"/>
        </w:rPr>
        <w:t>кримінальної відповідальності.</w:t>
      </w:r>
      <w:r>
        <w:rPr>
          <w:sz w:val="28"/>
          <w:szCs w:val="28"/>
        </w:rPr>
        <w:t xml:space="preserve"> </w:t>
      </w:r>
    </w:p>
    <w:p>
      <w:pPr>
        <w:pStyle w:val="style0"/>
        <w:spacing w:after="120" w:before="0"/>
        <w:ind w:firstLine="567" w:left="0" w:right="0"/>
        <w:contextualSpacing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 Кримінальний проступок: шляхи законодавчого запровадження.</w:t>
      </w:r>
    </w:p>
    <w:p>
      <w:pPr>
        <w:pStyle w:val="style0"/>
        <w:spacing w:after="120" w:before="0"/>
        <w:ind w:firstLine="567" w:left="0" w:right="0"/>
        <w:contextualSpacing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 Проблеми виконання судових рішень про відібрання дитини.</w:t>
      </w:r>
    </w:p>
    <w:p>
      <w:pPr>
        <w:pStyle w:val="style0"/>
        <w:spacing w:after="120" w:before="0"/>
        <w:ind w:firstLine="567" w:left="0" w:right="0"/>
        <w:contextualSpacing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 </w:t>
      </w:r>
      <w:r>
        <w:rPr>
          <w:sz w:val="28"/>
          <w:szCs w:val="28"/>
          <w:shd w:fill="FFFFFF" w:val="clear"/>
        </w:rPr>
        <w:t>Авторське право в Інтернеті</w:t>
      </w:r>
      <w:r>
        <w:rPr>
          <w:sz w:val="28"/>
          <w:szCs w:val="28"/>
        </w:rPr>
        <w:t>: особливості порушення та проблеми захисту. </w:t>
      </w:r>
    </w:p>
    <w:p>
      <w:pPr>
        <w:pStyle w:val="style0"/>
        <w:spacing w:after="120" w:before="0"/>
        <w:ind w:firstLine="567" w:left="0" w:right="0"/>
        <w:contextualSpacing w:val="false"/>
        <w:jc w:val="both"/>
        <w:rPr>
          <w:bCs/>
          <w:sz w:val="28"/>
          <w:szCs w:val="28"/>
          <w:shd w:fill="FFFFFF" w:val="clear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  <w:shd w:fill="FFFFFF" w:val="clear"/>
        </w:rPr>
        <w:t xml:space="preserve">Злочинність безпритульних неповнолітніх осіб: кримінологічна </w:t>
      </w:r>
      <w:r>
        <w:rPr>
          <w:bCs/>
          <w:sz w:val="28"/>
          <w:szCs w:val="28"/>
          <w:shd w:fill="FFFFFF" w:val="clear"/>
        </w:rPr>
        <w:t>характеристика та шляхи запобігання.</w:t>
      </w:r>
    </w:p>
    <w:p>
      <w:pPr>
        <w:pStyle w:val="style0"/>
        <w:spacing w:after="120" w:before="0"/>
        <w:ind w:firstLine="567" w:left="0" w:right="0"/>
        <w:contextualSpacing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 Інклюзивна освіта в Україні: нормативно-правове регулювання та реалізація міжнародних стандартів.</w:t>
      </w:r>
    </w:p>
    <w:p>
      <w:pPr>
        <w:pStyle w:val="style0"/>
        <w:spacing w:after="120" w:before="0"/>
        <w:ind w:firstLine="567" w:left="0" w:right="0"/>
        <w:contextualSpacing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> Проблемні питання права власності подружжя під час укладення шлюбних договорів. </w:t>
      </w:r>
    </w:p>
    <w:p>
      <w:pPr>
        <w:pStyle w:val="style0"/>
        <w:spacing w:after="120" w:before="0"/>
        <w:ind w:firstLine="567" w:left="0" w:right="0"/>
        <w:contextualSpacing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>  Комісії по трудових спорах: «пережиток» радянського трудового права чи ефективний спосіб поновлення прав робітників?</w:t>
      </w:r>
    </w:p>
    <w:p>
      <w:pPr>
        <w:pStyle w:val="style0"/>
        <w:spacing w:after="120" w:before="0"/>
        <w:ind w:firstLine="567" w:left="0" w:right="0"/>
        <w:contextualSpacing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> Запровадження інституту приватних виконавців: «узаконення» колекторів чи шлях до ефективного  виконання судових рішень?</w:t>
      </w:r>
    </w:p>
    <w:p>
      <w:pPr>
        <w:pStyle w:val="style0"/>
        <w:spacing w:after="120" w:before="0"/>
        <w:ind w:firstLine="567" w:left="0" w:right="0"/>
        <w:contextualSpacing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Відповідальність батьків за неналежне виховання дітей у цивільному та сімейному законодавстві України</w:t>
      </w:r>
      <w:r>
        <w:rPr>
          <w:sz w:val="28"/>
          <w:szCs w:val="28"/>
        </w:rPr>
        <w:t>: порівняльно-правовий аспект.</w:t>
      </w:r>
    </w:p>
    <w:p>
      <w:pPr>
        <w:pStyle w:val="style0"/>
        <w:spacing w:after="120" w:before="0"/>
        <w:contextualSpacing w:val="false"/>
        <w:jc w:val="center"/>
        <w:rPr/>
      </w:pPr>
      <w:r>
        <w:rPr/>
      </w:r>
    </w:p>
    <w:sectPr>
      <w:type w:val="nextPage"/>
      <w:pgSz w:h="16838" w:w="11906"/>
      <w:pgMar w:bottom="850" w:footer="0" w:gutter="0" w:header="0" w:left="1417" w:right="850" w:top="85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uk-UA" w:val="uk-UA"/>
    </w:rPr>
  </w:style>
  <w:style w:styleId="style15" w:type="character">
    <w:name w:val="Default Paragraph Font"/>
    <w:next w:val="style15"/>
    <w:rPr/>
  </w:style>
  <w:style w:styleId="style16" w:type="character">
    <w:name w:val="Название Знак"/>
    <w:basedOn w:val="style15"/>
    <w:next w:val="style16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style17" w:type="character">
    <w:name w:val="xfm_06965126"/>
    <w:basedOn w:val="style15"/>
    <w:next w:val="style17"/>
    <w:rPr/>
  </w:style>
  <w:style w:styleId="style18" w:type="character">
    <w:name w:val="Текст выноски Знак"/>
    <w:basedOn w:val="style15"/>
    <w:next w:val="style18"/>
    <w:rPr>
      <w:rFonts w:ascii="Tahoma" w:cs="Tahoma" w:eastAsia="Times New Roman" w:hAnsi="Tahoma"/>
      <w:sz w:val="16"/>
      <w:szCs w:val="16"/>
      <w:lang w:eastAsia="uk-UA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Заглавие"/>
    <w:basedOn w:val="style0"/>
    <w:next w:val="style24"/>
    <w:pPr>
      <w:jc w:val="center"/>
    </w:pPr>
    <w:rPr>
      <w:b/>
      <w:sz w:val="28"/>
      <w:szCs w:val="20"/>
      <w:lang w:eastAsia="ru-RU"/>
    </w:rPr>
  </w:style>
  <w:style w:styleId="style25" w:type="paragraph">
    <w:name w:val="Balloon Text"/>
    <w:basedOn w:val="style0"/>
    <w:next w:val="style25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2017-06-07T13:16:00Z</dcterms:created>
  <dc:creator>eftushenko</dc:creator>
  <cp:lastModifiedBy>Гостиникова</cp:lastModifiedBy>
  <dcterms:modified xsi:type="dcterms:W3CDTF">2017-07-03T09:39:00Z</dcterms:modified>
  <cp:revision>7</cp:revision>
</cp:coreProperties>
</file>